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0A3" w:rsidRPr="00F670A3" w:rsidRDefault="00F670A3" w:rsidP="00F670A3">
      <w:r w:rsidRPr="00F670A3">
        <w:rPr>
          <w:b/>
          <w:bCs/>
          <w:u w:val="single"/>
        </w:rPr>
        <w:t>Instructions for reading the Section 5506 Final Awards spreadsheet - Round 8:</w:t>
      </w:r>
    </w:p>
    <w:p w:rsidR="00F670A3" w:rsidRPr="00F670A3" w:rsidRDefault="00F670A3" w:rsidP="00F670A3">
      <w:r w:rsidRPr="00F670A3">
        <w:t xml:space="preserve">This spreadsheet contains the results of the FTE resident cap slot redistribution under the </w:t>
      </w:r>
      <w:r w:rsidRPr="00F670A3">
        <w:rPr>
          <w:b/>
          <w:bCs/>
          <w:u w:val="single"/>
        </w:rPr>
        <w:t>eighth round</w:t>
      </w:r>
      <w:r w:rsidRPr="00F670A3">
        <w:rPr>
          <w:b/>
          <w:bCs/>
        </w:rPr>
        <w:t xml:space="preserve"> </w:t>
      </w:r>
      <w:r w:rsidRPr="00F670A3">
        <w:t xml:space="preserve">of section 5506 of the ACA, </w:t>
      </w:r>
      <w:r w:rsidRPr="00F670A3">
        <w:rPr>
          <w:b/>
          <w:bCs/>
        </w:rPr>
        <w:t>“</w:t>
      </w:r>
      <w:r w:rsidRPr="00F670A3">
        <w:t>Preservation of Resident Cap Positions from Closed Hospitals”</w:t>
      </w:r>
      <w:r w:rsidRPr="00F670A3">
        <w:rPr>
          <w:b/>
          <w:bCs/>
        </w:rPr>
        <w:t> </w:t>
      </w:r>
      <w:r w:rsidRPr="00F670A3">
        <w:t>due to the closure of Pacific Hospital of Long Beach in Long Beach, CA on August 1, 2013.</w:t>
      </w:r>
    </w:p>
    <w:p w:rsidR="00F670A3" w:rsidRPr="00F670A3" w:rsidRDefault="00F670A3" w:rsidP="00F670A3">
      <w:r w:rsidRPr="00F670A3">
        <w:t>There are three tabs in this spreadsheet.  The second tab of this spreadsheet, labeled 'Pacific Hospital Awards', lists the hospitals</w:t>
      </w:r>
      <w:r w:rsidR="005A2AEA">
        <w:t xml:space="preserve"> </w:t>
      </w:r>
      <w:r w:rsidRPr="00F670A3">
        <w:t xml:space="preserve">that </w:t>
      </w:r>
      <w:r w:rsidR="005A2AEA">
        <w:t xml:space="preserve">was </w:t>
      </w:r>
      <w:r w:rsidRPr="00F670A3">
        <w:t>awarded FTE resident cap slots from the closure of Pacific Hospital.  The third tab of this spreadsheet, labeled 'Remaining Applicants', lists the hospitals that were not awarded FTE resident cap slots under round 8.</w:t>
      </w:r>
    </w:p>
    <w:p w:rsidR="00F670A3" w:rsidRPr="00F670A3" w:rsidRDefault="00F670A3" w:rsidP="00F670A3">
      <w:r w:rsidRPr="00F670A3">
        <w:t xml:space="preserve">On the </w:t>
      </w:r>
      <w:r w:rsidRPr="00F670A3">
        <w:rPr>
          <w:i/>
          <w:iCs/>
        </w:rPr>
        <w:t>'Pacific Hospital Awards</w:t>
      </w:r>
      <w:r w:rsidRPr="00F670A3">
        <w:t>' tab of this spreadsheet, you will find the following information:</w:t>
      </w:r>
    </w:p>
    <w:p w:rsidR="00D45AFB" w:rsidRPr="00F670A3" w:rsidRDefault="00F670A3" w:rsidP="005A2AEA">
      <w:pPr>
        <w:numPr>
          <w:ilvl w:val="1"/>
          <w:numId w:val="2"/>
        </w:numPr>
      </w:pPr>
      <w:r w:rsidRPr="00F670A3">
        <w:t>Column A contai</w:t>
      </w:r>
      <w:r w:rsidR="005A2AEA">
        <w:t>ns the CMS Certification Number</w:t>
      </w:r>
      <w:r w:rsidRPr="00F670A3">
        <w:t xml:space="preserve"> (CCN</w:t>
      </w:r>
      <w:r w:rsidR="005A2AEA">
        <w:t>)</w:t>
      </w:r>
      <w:bookmarkStart w:id="0" w:name="_GoBack"/>
      <w:bookmarkEnd w:id="0"/>
      <w:r w:rsidRPr="00F670A3">
        <w:t xml:space="preserve">.  </w:t>
      </w:r>
    </w:p>
    <w:p w:rsidR="00D45AFB" w:rsidRPr="00F670A3" w:rsidRDefault="00F670A3" w:rsidP="005A2AEA">
      <w:pPr>
        <w:numPr>
          <w:ilvl w:val="1"/>
          <w:numId w:val="2"/>
        </w:numPr>
      </w:pPr>
      <w:r w:rsidRPr="00F670A3">
        <w:t>Column B contains the total IME slots awarded to the hospital. There are both non-section 422 of the MMA and section 422 of the MMA slots associated with the IME awards.</w:t>
      </w:r>
    </w:p>
    <w:p w:rsidR="00D45AFB" w:rsidRPr="00F670A3" w:rsidRDefault="00F670A3" w:rsidP="005A2AEA">
      <w:pPr>
        <w:numPr>
          <w:ilvl w:val="1"/>
          <w:numId w:val="2"/>
        </w:numPr>
      </w:pPr>
      <w:r w:rsidRPr="00F670A3">
        <w:t>Column C contains the portion of the IME slots awarded to the hospital t</w:t>
      </w:r>
      <w:r w:rsidR="005A2AEA">
        <w:t xml:space="preserve">hat are not section 422 slots; </w:t>
      </w:r>
      <w:r w:rsidRPr="00F670A3">
        <w:t>they are associated with the non-section 422 of the MMA portion of Pacific Hospital's IME resident cap.</w:t>
      </w:r>
    </w:p>
    <w:p w:rsidR="00D45AFB" w:rsidRPr="00F670A3" w:rsidRDefault="00F670A3" w:rsidP="005A2AEA">
      <w:pPr>
        <w:numPr>
          <w:ilvl w:val="1"/>
          <w:numId w:val="2"/>
        </w:numPr>
      </w:pPr>
      <w:r w:rsidRPr="00F670A3">
        <w:t>Column D contains the portion of the IME cap slots awarded to the hospital that are section 422 of the MMA slots, associated with the 422 of the MMA portion of Pacific Hospital's IME resident cap. Under 42 CFR 412.105(d</w:t>
      </w:r>
      <w:proofErr w:type="gramStart"/>
      <w:r w:rsidRPr="00F670A3">
        <w:t>)(</w:t>
      </w:r>
      <w:proofErr w:type="gramEnd"/>
      <w:r w:rsidRPr="00F670A3">
        <w:t>4), IME cap slots associated with an increase received under section 422 of the MMA are to be paid with a multiplier of 0.66.</w:t>
      </w:r>
    </w:p>
    <w:p w:rsidR="00D45AFB" w:rsidRPr="00F670A3" w:rsidRDefault="00F670A3" w:rsidP="005A2AEA">
      <w:pPr>
        <w:numPr>
          <w:ilvl w:val="1"/>
          <w:numId w:val="2"/>
        </w:numPr>
      </w:pPr>
      <w:r w:rsidRPr="00F670A3">
        <w:t>Column E contains the effective date of the IME slots awarded.</w:t>
      </w:r>
    </w:p>
    <w:p w:rsidR="00D45AFB" w:rsidRPr="00F670A3" w:rsidRDefault="00F670A3" w:rsidP="005A2AEA">
      <w:pPr>
        <w:numPr>
          <w:ilvl w:val="1"/>
          <w:numId w:val="2"/>
        </w:numPr>
      </w:pPr>
      <w:r w:rsidRPr="00F670A3">
        <w:t>Column F contains the total DGME slots awarded to the hospital.  There are both non-section 422 of the MMA and section 422 of the MMA slots associated with the DGME awards.</w:t>
      </w:r>
    </w:p>
    <w:p w:rsidR="00D45AFB" w:rsidRPr="00F670A3" w:rsidRDefault="00F670A3" w:rsidP="005A2AEA">
      <w:pPr>
        <w:numPr>
          <w:ilvl w:val="1"/>
          <w:numId w:val="2"/>
        </w:numPr>
      </w:pPr>
      <w:r w:rsidRPr="00F670A3">
        <w:t>Column G contains the portion of the DGME slots awarded to the hospital that are not section 422 slots - they are associated with the non-section 422 of the MMA portion of Pacific Hospital's DGME resident cap.</w:t>
      </w:r>
    </w:p>
    <w:p w:rsidR="00D45AFB" w:rsidRPr="00F670A3" w:rsidRDefault="00F670A3" w:rsidP="005A2AEA">
      <w:pPr>
        <w:numPr>
          <w:ilvl w:val="1"/>
          <w:numId w:val="2"/>
        </w:numPr>
      </w:pPr>
      <w:r w:rsidRPr="00F670A3">
        <w:t>Column H contains the portion of the DGME cap slots awarded to the hospital that are section 422 of the MMA slots, associated with the 422 of the MMA portion of Pacific Hospital's DGME resident cap, and are to be paid using the appropriate locality-adjusted national average Pe</w:t>
      </w:r>
      <w:r w:rsidR="005A2AEA">
        <w:t>r Resident Amount (</w:t>
      </w:r>
      <w:proofErr w:type="gramStart"/>
      <w:r w:rsidR="005A2AEA">
        <w:t>see  42</w:t>
      </w:r>
      <w:proofErr w:type="gramEnd"/>
      <w:r w:rsidR="005A2AEA">
        <w:t xml:space="preserve"> CFR </w:t>
      </w:r>
      <w:r w:rsidRPr="00F670A3">
        <w:t>413.77(g) and 79 FR June 4, 2014, p. 32301).</w:t>
      </w:r>
    </w:p>
    <w:p w:rsidR="00D45AFB" w:rsidRPr="00F670A3" w:rsidRDefault="00F670A3" w:rsidP="005A2AEA">
      <w:pPr>
        <w:numPr>
          <w:ilvl w:val="1"/>
          <w:numId w:val="2"/>
        </w:numPr>
      </w:pPr>
      <w:r w:rsidRPr="00F670A3">
        <w:t xml:space="preserve">Column I contains the effective date of the DGME slots awarded.  </w:t>
      </w:r>
    </w:p>
    <w:p w:rsidR="00D45AFB" w:rsidRPr="00F670A3" w:rsidRDefault="00F670A3" w:rsidP="005A2AEA">
      <w:pPr>
        <w:numPr>
          <w:ilvl w:val="1"/>
          <w:numId w:val="2"/>
        </w:numPr>
      </w:pPr>
      <w:r w:rsidRPr="00F670A3">
        <w:t>Column J contains the hospital's Medicare Administrative Contractor (MAC).</w:t>
      </w:r>
    </w:p>
    <w:p w:rsidR="00F670A3" w:rsidRPr="00F670A3" w:rsidRDefault="00F670A3" w:rsidP="00F670A3">
      <w:r w:rsidRPr="00F670A3">
        <w:t xml:space="preserve">Once you find the provider number you are looking for, please read across the entire row to find all of the effective dates for the hospital’s total section 5506 IME and DGME slots awarded, respectively.  Please also note whether the award amount in a particular column is or is not associated with section 422 of the MMA cap slots.  The IME and DGME section 422 award slots are to be separately reported on your Medicare cost report and paid using the appropriate IME multiplier and DGME locality-adjusted national average Per Resident Amount.  </w:t>
      </w:r>
    </w:p>
    <w:p w:rsidR="00F670A3" w:rsidRPr="00F670A3" w:rsidRDefault="00F670A3" w:rsidP="00F670A3">
      <w:r w:rsidRPr="00F670A3">
        <w:t> </w:t>
      </w:r>
    </w:p>
    <w:p w:rsidR="006F4682" w:rsidRDefault="005A2AEA"/>
    <w:sectPr w:rsidR="006F4682" w:rsidSect="00F76EF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A777C"/>
    <w:multiLevelType w:val="hybridMultilevel"/>
    <w:tmpl w:val="4CC0EA04"/>
    <w:lvl w:ilvl="0" w:tplc="642A23C4">
      <w:start w:val="1"/>
      <w:numFmt w:val="bullet"/>
      <w:lvlText w:val=""/>
      <w:lvlJc w:val="left"/>
      <w:pPr>
        <w:tabs>
          <w:tab w:val="num" w:pos="720"/>
        </w:tabs>
        <w:ind w:left="720" w:hanging="360"/>
      </w:pPr>
      <w:rPr>
        <w:rFonts w:ascii="Symbol" w:hAnsi="Symbol" w:hint="default"/>
      </w:rPr>
    </w:lvl>
    <w:lvl w:ilvl="1" w:tplc="6E8ED3D4">
      <w:start w:val="1"/>
      <w:numFmt w:val="bullet"/>
      <w:lvlText w:val=""/>
      <w:lvlJc w:val="left"/>
      <w:pPr>
        <w:tabs>
          <w:tab w:val="num" w:pos="1440"/>
        </w:tabs>
        <w:ind w:left="1440" w:hanging="360"/>
      </w:pPr>
      <w:rPr>
        <w:rFonts w:ascii="Symbol" w:hAnsi="Symbol" w:hint="default"/>
      </w:rPr>
    </w:lvl>
    <w:lvl w:ilvl="2" w:tplc="2D1858C6" w:tentative="1">
      <w:start w:val="1"/>
      <w:numFmt w:val="bullet"/>
      <w:lvlText w:val=""/>
      <w:lvlJc w:val="left"/>
      <w:pPr>
        <w:tabs>
          <w:tab w:val="num" w:pos="2160"/>
        </w:tabs>
        <w:ind w:left="2160" w:hanging="360"/>
      </w:pPr>
      <w:rPr>
        <w:rFonts w:ascii="Symbol" w:hAnsi="Symbol" w:hint="default"/>
      </w:rPr>
    </w:lvl>
    <w:lvl w:ilvl="3" w:tplc="0C5A2D0A" w:tentative="1">
      <w:start w:val="1"/>
      <w:numFmt w:val="bullet"/>
      <w:lvlText w:val=""/>
      <w:lvlJc w:val="left"/>
      <w:pPr>
        <w:tabs>
          <w:tab w:val="num" w:pos="2880"/>
        </w:tabs>
        <w:ind w:left="2880" w:hanging="360"/>
      </w:pPr>
      <w:rPr>
        <w:rFonts w:ascii="Symbol" w:hAnsi="Symbol" w:hint="default"/>
      </w:rPr>
    </w:lvl>
    <w:lvl w:ilvl="4" w:tplc="2F16ACA8" w:tentative="1">
      <w:start w:val="1"/>
      <w:numFmt w:val="bullet"/>
      <w:lvlText w:val=""/>
      <w:lvlJc w:val="left"/>
      <w:pPr>
        <w:tabs>
          <w:tab w:val="num" w:pos="3600"/>
        </w:tabs>
        <w:ind w:left="3600" w:hanging="360"/>
      </w:pPr>
      <w:rPr>
        <w:rFonts w:ascii="Symbol" w:hAnsi="Symbol" w:hint="default"/>
      </w:rPr>
    </w:lvl>
    <w:lvl w:ilvl="5" w:tplc="3460AA7E" w:tentative="1">
      <w:start w:val="1"/>
      <w:numFmt w:val="bullet"/>
      <w:lvlText w:val=""/>
      <w:lvlJc w:val="left"/>
      <w:pPr>
        <w:tabs>
          <w:tab w:val="num" w:pos="4320"/>
        </w:tabs>
        <w:ind w:left="4320" w:hanging="360"/>
      </w:pPr>
      <w:rPr>
        <w:rFonts w:ascii="Symbol" w:hAnsi="Symbol" w:hint="default"/>
      </w:rPr>
    </w:lvl>
    <w:lvl w:ilvl="6" w:tplc="43AA46DE" w:tentative="1">
      <w:start w:val="1"/>
      <w:numFmt w:val="bullet"/>
      <w:lvlText w:val=""/>
      <w:lvlJc w:val="left"/>
      <w:pPr>
        <w:tabs>
          <w:tab w:val="num" w:pos="5040"/>
        </w:tabs>
        <w:ind w:left="5040" w:hanging="360"/>
      </w:pPr>
      <w:rPr>
        <w:rFonts w:ascii="Symbol" w:hAnsi="Symbol" w:hint="default"/>
      </w:rPr>
    </w:lvl>
    <w:lvl w:ilvl="7" w:tplc="033EDF84" w:tentative="1">
      <w:start w:val="1"/>
      <w:numFmt w:val="bullet"/>
      <w:lvlText w:val=""/>
      <w:lvlJc w:val="left"/>
      <w:pPr>
        <w:tabs>
          <w:tab w:val="num" w:pos="5760"/>
        </w:tabs>
        <w:ind w:left="5760" w:hanging="360"/>
      </w:pPr>
      <w:rPr>
        <w:rFonts w:ascii="Symbol" w:hAnsi="Symbol" w:hint="default"/>
      </w:rPr>
    </w:lvl>
    <w:lvl w:ilvl="8" w:tplc="88E0651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55D0B80"/>
    <w:multiLevelType w:val="hybridMultilevel"/>
    <w:tmpl w:val="B8D40AF6"/>
    <w:lvl w:ilvl="0" w:tplc="642A23C4">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D1858C6" w:tentative="1">
      <w:start w:val="1"/>
      <w:numFmt w:val="bullet"/>
      <w:lvlText w:val=""/>
      <w:lvlJc w:val="left"/>
      <w:pPr>
        <w:tabs>
          <w:tab w:val="num" w:pos="2160"/>
        </w:tabs>
        <w:ind w:left="2160" w:hanging="360"/>
      </w:pPr>
      <w:rPr>
        <w:rFonts w:ascii="Symbol" w:hAnsi="Symbol" w:hint="default"/>
      </w:rPr>
    </w:lvl>
    <w:lvl w:ilvl="3" w:tplc="0C5A2D0A" w:tentative="1">
      <w:start w:val="1"/>
      <w:numFmt w:val="bullet"/>
      <w:lvlText w:val=""/>
      <w:lvlJc w:val="left"/>
      <w:pPr>
        <w:tabs>
          <w:tab w:val="num" w:pos="2880"/>
        </w:tabs>
        <w:ind w:left="2880" w:hanging="360"/>
      </w:pPr>
      <w:rPr>
        <w:rFonts w:ascii="Symbol" w:hAnsi="Symbol" w:hint="default"/>
      </w:rPr>
    </w:lvl>
    <w:lvl w:ilvl="4" w:tplc="2F16ACA8" w:tentative="1">
      <w:start w:val="1"/>
      <w:numFmt w:val="bullet"/>
      <w:lvlText w:val=""/>
      <w:lvlJc w:val="left"/>
      <w:pPr>
        <w:tabs>
          <w:tab w:val="num" w:pos="3600"/>
        </w:tabs>
        <w:ind w:left="3600" w:hanging="360"/>
      </w:pPr>
      <w:rPr>
        <w:rFonts w:ascii="Symbol" w:hAnsi="Symbol" w:hint="default"/>
      </w:rPr>
    </w:lvl>
    <w:lvl w:ilvl="5" w:tplc="3460AA7E" w:tentative="1">
      <w:start w:val="1"/>
      <w:numFmt w:val="bullet"/>
      <w:lvlText w:val=""/>
      <w:lvlJc w:val="left"/>
      <w:pPr>
        <w:tabs>
          <w:tab w:val="num" w:pos="4320"/>
        </w:tabs>
        <w:ind w:left="4320" w:hanging="360"/>
      </w:pPr>
      <w:rPr>
        <w:rFonts w:ascii="Symbol" w:hAnsi="Symbol" w:hint="default"/>
      </w:rPr>
    </w:lvl>
    <w:lvl w:ilvl="6" w:tplc="43AA46DE" w:tentative="1">
      <w:start w:val="1"/>
      <w:numFmt w:val="bullet"/>
      <w:lvlText w:val=""/>
      <w:lvlJc w:val="left"/>
      <w:pPr>
        <w:tabs>
          <w:tab w:val="num" w:pos="5040"/>
        </w:tabs>
        <w:ind w:left="5040" w:hanging="360"/>
      </w:pPr>
      <w:rPr>
        <w:rFonts w:ascii="Symbol" w:hAnsi="Symbol" w:hint="default"/>
      </w:rPr>
    </w:lvl>
    <w:lvl w:ilvl="7" w:tplc="033EDF84" w:tentative="1">
      <w:start w:val="1"/>
      <w:numFmt w:val="bullet"/>
      <w:lvlText w:val=""/>
      <w:lvlJc w:val="left"/>
      <w:pPr>
        <w:tabs>
          <w:tab w:val="num" w:pos="5760"/>
        </w:tabs>
        <w:ind w:left="5760" w:hanging="360"/>
      </w:pPr>
      <w:rPr>
        <w:rFonts w:ascii="Symbol" w:hAnsi="Symbol" w:hint="default"/>
      </w:rPr>
    </w:lvl>
    <w:lvl w:ilvl="8" w:tplc="88E06512"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0A3"/>
    <w:rsid w:val="005A2AEA"/>
    <w:rsid w:val="00CB1DFB"/>
    <w:rsid w:val="00D45AFB"/>
    <w:rsid w:val="00F36DC5"/>
    <w:rsid w:val="00F670A3"/>
    <w:rsid w:val="00F76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D4D33-340B-4A79-A10D-533E9FB3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402437">
      <w:bodyDiv w:val="1"/>
      <w:marLeft w:val="0"/>
      <w:marRight w:val="0"/>
      <w:marTop w:val="0"/>
      <w:marBottom w:val="0"/>
      <w:divBdr>
        <w:top w:val="none" w:sz="0" w:space="0" w:color="auto"/>
        <w:left w:val="none" w:sz="0" w:space="0" w:color="auto"/>
        <w:bottom w:val="none" w:sz="0" w:space="0" w:color="auto"/>
        <w:right w:val="none" w:sz="0" w:space="0" w:color="auto"/>
      </w:divBdr>
      <w:divsChild>
        <w:div w:id="1218470809">
          <w:marLeft w:val="1267"/>
          <w:marRight w:val="0"/>
          <w:marTop w:val="0"/>
          <w:marBottom w:val="0"/>
          <w:divBdr>
            <w:top w:val="none" w:sz="0" w:space="0" w:color="auto"/>
            <w:left w:val="none" w:sz="0" w:space="0" w:color="auto"/>
            <w:bottom w:val="none" w:sz="0" w:space="0" w:color="auto"/>
            <w:right w:val="none" w:sz="0" w:space="0" w:color="auto"/>
          </w:divBdr>
        </w:div>
        <w:div w:id="1044670223">
          <w:marLeft w:val="1267"/>
          <w:marRight w:val="0"/>
          <w:marTop w:val="0"/>
          <w:marBottom w:val="0"/>
          <w:divBdr>
            <w:top w:val="none" w:sz="0" w:space="0" w:color="auto"/>
            <w:left w:val="none" w:sz="0" w:space="0" w:color="auto"/>
            <w:bottom w:val="none" w:sz="0" w:space="0" w:color="auto"/>
            <w:right w:val="none" w:sz="0" w:space="0" w:color="auto"/>
          </w:divBdr>
        </w:div>
        <w:div w:id="1265721368">
          <w:marLeft w:val="1267"/>
          <w:marRight w:val="0"/>
          <w:marTop w:val="0"/>
          <w:marBottom w:val="0"/>
          <w:divBdr>
            <w:top w:val="none" w:sz="0" w:space="0" w:color="auto"/>
            <w:left w:val="none" w:sz="0" w:space="0" w:color="auto"/>
            <w:bottom w:val="none" w:sz="0" w:space="0" w:color="auto"/>
            <w:right w:val="none" w:sz="0" w:space="0" w:color="auto"/>
          </w:divBdr>
        </w:div>
        <w:div w:id="1532188896">
          <w:marLeft w:val="1267"/>
          <w:marRight w:val="0"/>
          <w:marTop w:val="0"/>
          <w:marBottom w:val="0"/>
          <w:divBdr>
            <w:top w:val="none" w:sz="0" w:space="0" w:color="auto"/>
            <w:left w:val="none" w:sz="0" w:space="0" w:color="auto"/>
            <w:bottom w:val="none" w:sz="0" w:space="0" w:color="auto"/>
            <w:right w:val="none" w:sz="0" w:space="0" w:color="auto"/>
          </w:divBdr>
        </w:div>
        <w:div w:id="207382022">
          <w:marLeft w:val="1267"/>
          <w:marRight w:val="0"/>
          <w:marTop w:val="0"/>
          <w:marBottom w:val="0"/>
          <w:divBdr>
            <w:top w:val="none" w:sz="0" w:space="0" w:color="auto"/>
            <w:left w:val="none" w:sz="0" w:space="0" w:color="auto"/>
            <w:bottom w:val="none" w:sz="0" w:space="0" w:color="auto"/>
            <w:right w:val="none" w:sz="0" w:space="0" w:color="auto"/>
          </w:divBdr>
        </w:div>
        <w:div w:id="1860461640">
          <w:marLeft w:val="1267"/>
          <w:marRight w:val="0"/>
          <w:marTop w:val="0"/>
          <w:marBottom w:val="0"/>
          <w:divBdr>
            <w:top w:val="none" w:sz="0" w:space="0" w:color="auto"/>
            <w:left w:val="none" w:sz="0" w:space="0" w:color="auto"/>
            <w:bottom w:val="none" w:sz="0" w:space="0" w:color="auto"/>
            <w:right w:val="none" w:sz="0" w:space="0" w:color="auto"/>
          </w:divBdr>
        </w:div>
        <w:div w:id="1094518520">
          <w:marLeft w:val="1267"/>
          <w:marRight w:val="0"/>
          <w:marTop w:val="0"/>
          <w:marBottom w:val="0"/>
          <w:divBdr>
            <w:top w:val="none" w:sz="0" w:space="0" w:color="auto"/>
            <w:left w:val="none" w:sz="0" w:space="0" w:color="auto"/>
            <w:bottom w:val="none" w:sz="0" w:space="0" w:color="auto"/>
            <w:right w:val="none" w:sz="0" w:space="0" w:color="auto"/>
          </w:divBdr>
        </w:div>
        <w:div w:id="402487229">
          <w:marLeft w:val="1267"/>
          <w:marRight w:val="0"/>
          <w:marTop w:val="0"/>
          <w:marBottom w:val="0"/>
          <w:divBdr>
            <w:top w:val="none" w:sz="0" w:space="0" w:color="auto"/>
            <w:left w:val="none" w:sz="0" w:space="0" w:color="auto"/>
            <w:bottom w:val="none" w:sz="0" w:space="0" w:color="auto"/>
            <w:right w:val="none" w:sz="0" w:space="0" w:color="auto"/>
          </w:divBdr>
        </w:div>
        <w:div w:id="302545344">
          <w:marLeft w:val="1267"/>
          <w:marRight w:val="0"/>
          <w:marTop w:val="0"/>
          <w:marBottom w:val="0"/>
          <w:divBdr>
            <w:top w:val="none" w:sz="0" w:space="0" w:color="auto"/>
            <w:left w:val="none" w:sz="0" w:space="0" w:color="auto"/>
            <w:bottom w:val="none" w:sz="0" w:space="0" w:color="auto"/>
            <w:right w:val="none" w:sz="0" w:space="0" w:color="auto"/>
          </w:divBdr>
        </w:div>
        <w:div w:id="1348142663">
          <w:marLeft w:val="1267"/>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Miechal Lefkowitz</dc:creator>
  <cp:keywords/>
  <dc:description/>
  <cp:lastModifiedBy>Miechal Lefkowitz</cp:lastModifiedBy>
  <cp:revision>3</cp:revision>
  <dcterms:created xsi:type="dcterms:W3CDTF">2017-01-31T16:01:00Z</dcterms:created>
  <dcterms:modified xsi:type="dcterms:W3CDTF">2017-01-31T16:18:00Z</dcterms:modified>
</cp:coreProperties>
</file>